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C32DB" w14:textId="13BA9733" w:rsidR="00145A7E" w:rsidRDefault="00145A7E" w:rsidP="00145A7E">
      <w:pPr>
        <w:pStyle w:val="3GPPHeader"/>
        <w:rPr>
          <w:lang w:val="en-US"/>
        </w:rPr>
      </w:pPr>
      <w:r>
        <w:rPr>
          <w:lang w:val="en-US"/>
        </w:rPr>
        <w:t>3GPP TSG-RAN WG4 Meeting #107</w:t>
      </w:r>
      <w:r>
        <w:rPr>
          <w:lang w:val="en-US"/>
        </w:rPr>
        <w:tab/>
        <w:t>R4-</w:t>
      </w:r>
      <w:r w:rsidR="005E5BC6" w:rsidRPr="005E5BC6">
        <w:rPr>
          <w:lang w:val="en-US"/>
        </w:rPr>
        <w:t>230955</w:t>
      </w:r>
      <w:r w:rsidR="005E5BC6">
        <w:rPr>
          <w:lang w:val="en-US"/>
        </w:rPr>
        <w:t>8</w:t>
      </w:r>
    </w:p>
    <w:p w14:paraId="7D97CC1A" w14:textId="77777777" w:rsidR="00145A7E" w:rsidRDefault="00145A7E" w:rsidP="00145A7E">
      <w:pPr>
        <w:pStyle w:val="3GPPHeader"/>
        <w:rPr>
          <w:lang w:val="en-US"/>
        </w:rPr>
      </w:pPr>
      <w:r>
        <w:rPr>
          <w:lang w:val="en-US"/>
        </w:rPr>
        <w:t>Incheon, South Korea, May 22 – May 26, 2023</w:t>
      </w:r>
    </w:p>
    <w:p w14:paraId="296AB74D" w14:textId="478ADEAA" w:rsidR="00F354F0" w:rsidRPr="001665C6" w:rsidRDefault="00F354F0" w:rsidP="00F354F0">
      <w:pPr>
        <w:pStyle w:val="3GPPHeader"/>
      </w:pPr>
      <w:r w:rsidRPr="001665C6">
        <w:t>Agenda Item:</w:t>
      </w:r>
      <w:r w:rsidRPr="001665C6">
        <w:tab/>
      </w:r>
      <w:r w:rsidR="00145A7E" w:rsidRPr="00A45CC0">
        <w:t>8</w:t>
      </w:r>
      <w:r w:rsidR="00A2185F" w:rsidRPr="00A45CC0">
        <w:t>.2</w:t>
      </w:r>
      <w:r w:rsidR="00E9692F" w:rsidRPr="00A45CC0">
        <w:t>3</w:t>
      </w:r>
      <w:r w:rsidR="00A2185F" w:rsidRPr="00A45CC0">
        <w:t>.3.</w:t>
      </w:r>
      <w:r w:rsidR="00E9692F" w:rsidRPr="00A45CC0">
        <w:t>4</w:t>
      </w:r>
    </w:p>
    <w:p w14:paraId="7E06CF5F" w14:textId="77777777" w:rsidR="00F354F0" w:rsidRPr="001A5974" w:rsidRDefault="00F354F0" w:rsidP="00F354F0">
      <w:pPr>
        <w:pStyle w:val="3GPPHeader"/>
      </w:pPr>
      <w:r w:rsidRPr="001A5974">
        <w:t>Source:</w:t>
      </w:r>
      <w:r w:rsidRPr="001A5974">
        <w:tab/>
      </w:r>
      <w:r w:rsidRPr="00837AD9">
        <w:t>MediaTek Inc.</w:t>
      </w:r>
    </w:p>
    <w:p w14:paraId="3A8FC3FA" w14:textId="46BB2467" w:rsidR="008A22CF" w:rsidRPr="001A5974" w:rsidRDefault="008A22CF" w:rsidP="0014682B">
      <w:pPr>
        <w:pStyle w:val="3GPPHeader"/>
        <w:ind w:left="284" w:hanging="284"/>
      </w:pPr>
      <w:r w:rsidRPr="001A5974">
        <w:t>Title:</w:t>
      </w:r>
      <w:r w:rsidRPr="001A5974">
        <w:tab/>
      </w:r>
      <w:r w:rsidR="00E9692F" w:rsidRPr="00E9692F">
        <w:t>Discussion on Positioning for RedCap UEs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33D496FC" w14:textId="7026DA54" w:rsidR="00E9692F" w:rsidRDefault="00E9412F" w:rsidP="006D75DD">
      <w:pPr>
        <w:jc w:val="both"/>
      </w:pPr>
      <w:r>
        <w:t xml:space="preserve">In the last meeting, </w:t>
      </w:r>
      <w:r w:rsidR="00E9692F">
        <w:t xml:space="preserve">RAN4 </w:t>
      </w:r>
      <w:r w:rsidR="00215F23">
        <w:t>continued the</w:t>
      </w:r>
      <w:r w:rsidR="00E9692F">
        <w:t xml:space="preserve"> discussion on the RRM core requirements for </w:t>
      </w:r>
      <w:r w:rsidR="00503670">
        <w:t>RedCap</w:t>
      </w:r>
      <w:r w:rsidR="00E9692F">
        <w:t xml:space="preserve"> Positioning </w:t>
      </w:r>
      <w:r w:rsidR="00503670">
        <w:t xml:space="preserve">in R18 </w:t>
      </w:r>
      <w:r w:rsidR="00E9692F">
        <w:t xml:space="preserve">for RedCap UEs. </w:t>
      </w:r>
      <w:r w:rsidR="0087355B">
        <w:t xml:space="preserve">Some agreements were made as captured in the WF </w:t>
      </w:r>
      <w:r w:rsidR="0087355B">
        <w:fldChar w:fldCharType="begin"/>
      </w:r>
      <w:r w:rsidR="0087355B">
        <w:instrText xml:space="preserve"> REF _Ref127556755 \r \h </w:instrText>
      </w:r>
      <w:r w:rsidR="0087355B">
        <w:fldChar w:fldCharType="separate"/>
      </w:r>
      <w:r w:rsidR="0087355B">
        <w:t>[1]</w:t>
      </w:r>
      <w:r w:rsidR="0087355B">
        <w:fldChar w:fldCharType="end"/>
      </w:r>
      <w:r w:rsidR="0087355B">
        <w:t xml:space="preserve">. In this paper we further discuss the RRM requirements for positioning measurements </w:t>
      </w:r>
      <w:r w:rsidR="007937B1">
        <w:t>for</w:t>
      </w:r>
      <w:r w:rsidR="0087355B">
        <w:t xml:space="preserve"> RedCap UEs.</w:t>
      </w:r>
    </w:p>
    <w:p w14:paraId="63B30870" w14:textId="10ABB8D7" w:rsidR="006913F6" w:rsidRPr="009011F0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61FE1A4A" w14:textId="24C567B6" w:rsidR="003A0922" w:rsidRDefault="00503670" w:rsidP="003A0922">
      <w:pPr>
        <w:jc w:val="both"/>
        <w:rPr>
          <w:bCs/>
        </w:rPr>
      </w:pPr>
      <w:r>
        <w:rPr>
          <w:bCs/>
        </w:rPr>
        <w:t xml:space="preserve">RedCap UEs are reduced </w:t>
      </w:r>
      <w:r w:rsidR="00593F9B">
        <w:rPr>
          <w:bCs/>
        </w:rPr>
        <w:t>capability devi</w:t>
      </w:r>
      <w:r w:rsidR="00D2354A">
        <w:rPr>
          <w:bCs/>
        </w:rPr>
        <w:t>c</w:t>
      </w:r>
      <w:r w:rsidR="00593F9B">
        <w:rPr>
          <w:bCs/>
        </w:rPr>
        <w:t xml:space="preserve">es </w:t>
      </w:r>
      <w:r w:rsidR="00C30297">
        <w:rPr>
          <w:bCs/>
        </w:rPr>
        <w:t>that</w:t>
      </w:r>
      <w:r w:rsidR="00593F9B">
        <w:rPr>
          <w:bCs/>
        </w:rPr>
        <w:t xml:space="preserve"> support</w:t>
      </w:r>
      <w:r w:rsidR="00DB06B8">
        <w:rPr>
          <w:bCs/>
        </w:rPr>
        <w:t xml:space="preserve"> limited frequency bandwidth, 20 MHz in FR1 and 100 MHz in FR2.</w:t>
      </w:r>
      <w:r w:rsidR="00DC2789">
        <w:rPr>
          <w:bCs/>
        </w:rPr>
        <w:t xml:space="preserve"> In addition, </w:t>
      </w:r>
      <w:r w:rsidR="00D2354A">
        <w:rPr>
          <w:bCs/>
        </w:rPr>
        <w:t xml:space="preserve">RedCap UEs can </w:t>
      </w:r>
      <w:r w:rsidR="009B52CA">
        <w:rPr>
          <w:bCs/>
        </w:rPr>
        <w:t>be des</w:t>
      </w:r>
      <w:r w:rsidR="00E816DE">
        <w:rPr>
          <w:bCs/>
        </w:rPr>
        <w:t>igned</w:t>
      </w:r>
      <w:r w:rsidR="009B52CA">
        <w:rPr>
          <w:bCs/>
        </w:rPr>
        <w:t xml:space="preserve"> with 2 Rx or reduced 1</w:t>
      </w:r>
      <w:r w:rsidR="00D2354A">
        <w:rPr>
          <w:bCs/>
        </w:rPr>
        <w:t xml:space="preserve"> Rx </w:t>
      </w:r>
      <w:r w:rsidR="00E816DE">
        <w:rPr>
          <w:bCs/>
        </w:rPr>
        <w:t xml:space="preserve">receiver antenna. </w:t>
      </w:r>
      <w:r w:rsidR="00C30297">
        <w:rPr>
          <w:bCs/>
        </w:rPr>
        <w:t>Enabling positioning measurements in RedCap UEs in R18</w:t>
      </w:r>
      <w:r w:rsidR="0026469B">
        <w:rPr>
          <w:bCs/>
        </w:rPr>
        <w:t xml:space="preserve"> should take into account these </w:t>
      </w:r>
      <w:r w:rsidR="001D2EE5">
        <w:rPr>
          <w:bCs/>
        </w:rPr>
        <w:t>reduced</w:t>
      </w:r>
      <w:r w:rsidR="0026469B">
        <w:rPr>
          <w:bCs/>
        </w:rPr>
        <w:t xml:space="preserve"> capabilities</w:t>
      </w:r>
      <w:r w:rsidR="001D2EE5">
        <w:rPr>
          <w:bCs/>
        </w:rPr>
        <w:t xml:space="preserve"> in the UE design</w:t>
      </w:r>
      <w:r w:rsidR="0026469B">
        <w:rPr>
          <w:bCs/>
        </w:rPr>
        <w:t xml:space="preserve">. </w:t>
      </w:r>
      <w:r w:rsidR="00647CBA">
        <w:rPr>
          <w:bCs/>
        </w:rPr>
        <w:t xml:space="preserve">Given the limited BW </w:t>
      </w:r>
      <w:r w:rsidR="00E816DE">
        <w:rPr>
          <w:bCs/>
        </w:rPr>
        <w:t>of</w:t>
      </w:r>
      <w:r w:rsidR="00647CBA">
        <w:rPr>
          <w:bCs/>
        </w:rPr>
        <w:t xml:space="preserve"> RedCap UEs, </w:t>
      </w:r>
      <w:r w:rsidR="003A0922">
        <w:rPr>
          <w:bCs/>
        </w:rPr>
        <w:t xml:space="preserve">PRS/SRS resources used for positioning measurements </w:t>
      </w:r>
      <w:r w:rsidR="00E816DE">
        <w:rPr>
          <w:bCs/>
        </w:rPr>
        <w:t xml:space="preserve">that </w:t>
      </w:r>
      <w:r w:rsidR="003A0922">
        <w:rPr>
          <w:bCs/>
        </w:rPr>
        <w:t>occur over a large</w:t>
      </w:r>
      <w:r w:rsidR="00F8413B">
        <w:rPr>
          <w:bCs/>
        </w:rPr>
        <w:t>r</w:t>
      </w:r>
      <w:r w:rsidR="003A0922">
        <w:rPr>
          <w:bCs/>
        </w:rPr>
        <w:t xml:space="preserve"> BW (&gt;20 MHz in FR1 and &gt;100 MHz in FR2) will require frequency hopping </w:t>
      </w:r>
      <w:r w:rsidR="00E816DE">
        <w:rPr>
          <w:bCs/>
        </w:rPr>
        <w:t xml:space="preserve">in order </w:t>
      </w:r>
      <w:r w:rsidR="003A0922">
        <w:rPr>
          <w:bCs/>
        </w:rPr>
        <w:t xml:space="preserve">to cover the resources outside </w:t>
      </w:r>
      <w:r w:rsidR="00F8413B">
        <w:rPr>
          <w:bCs/>
        </w:rPr>
        <w:t xml:space="preserve">UE’s </w:t>
      </w:r>
      <w:r w:rsidR="003A0922">
        <w:rPr>
          <w:bCs/>
        </w:rPr>
        <w:t xml:space="preserve">BW coverage. </w:t>
      </w:r>
    </w:p>
    <w:p w14:paraId="79C7730E" w14:textId="6C62C317" w:rsidR="00F8413B" w:rsidRDefault="00F8413B" w:rsidP="003A0922">
      <w:pPr>
        <w:jc w:val="both"/>
        <w:rPr>
          <w:bCs/>
        </w:rPr>
      </w:pPr>
      <w:r>
        <w:rPr>
          <w:bCs/>
        </w:rPr>
        <w:t>The</w:t>
      </w:r>
      <w:r w:rsidR="008A6D90">
        <w:rPr>
          <w:bCs/>
        </w:rPr>
        <w:t>refore, the</w:t>
      </w:r>
      <w:r>
        <w:rPr>
          <w:bCs/>
        </w:rPr>
        <w:t xml:space="preserve"> RRM </w:t>
      </w:r>
      <w:r w:rsidR="00DF6D25">
        <w:rPr>
          <w:bCs/>
        </w:rPr>
        <w:t xml:space="preserve">core </w:t>
      </w:r>
      <w:r>
        <w:rPr>
          <w:bCs/>
        </w:rPr>
        <w:t>requirements for RedCap Positioning</w:t>
      </w:r>
      <w:r w:rsidR="008A6D90">
        <w:rPr>
          <w:bCs/>
        </w:rPr>
        <w:t xml:space="preserve"> can be studied under</w:t>
      </w:r>
      <w:r w:rsidR="00E816DE">
        <w:rPr>
          <w:bCs/>
        </w:rPr>
        <w:t xml:space="preserve"> the</w:t>
      </w:r>
      <w:r w:rsidR="008A6D90">
        <w:rPr>
          <w:bCs/>
        </w:rPr>
        <w:t xml:space="preserve"> two scenarios</w:t>
      </w:r>
      <w:r w:rsidR="005D1E84">
        <w:rPr>
          <w:bCs/>
        </w:rPr>
        <w:t>,</w:t>
      </w:r>
      <w:r w:rsidR="00DF6D25">
        <w:rPr>
          <w:bCs/>
        </w:rPr>
        <w:t xml:space="preserve"> </w:t>
      </w:r>
      <w:r w:rsidR="008A6D90">
        <w:rPr>
          <w:bCs/>
        </w:rPr>
        <w:t xml:space="preserve">with and without frequency hopping. </w:t>
      </w:r>
      <w:r w:rsidR="00DF6D25">
        <w:rPr>
          <w:bCs/>
        </w:rPr>
        <w:t>When no frequency hopping is needed (i.e., PRS/SRS resources are already covered by the UE capability)</w:t>
      </w:r>
      <w:r w:rsidR="004C07E7">
        <w:rPr>
          <w:bCs/>
        </w:rPr>
        <w:t>, the existing requirements for positioning</w:t>
      </w:r>
      <w:r w:rsidR="005D1E84">
        <w:rPr>
          <w:bCs/>
        </w:rPr>
        <w:t xml:space="preserve"> in R16/R17</w:t>
      </w:r>
      <w:r w:rsidR="004C07E7">
        <w:rPr>
          <w:bCs/>
        </w:rPr>
        <w:t xml:space="preserve"> can be used as a baseline for RedCap Positioning. </w:t>
      </w:r>
      <w:r w:rsidR="00DF6D25">
        <w:rPr>
          <w:bCs/>
        </w:rPr>
        <w:t xml:space="preserve">In the last meeting RAN4 has </w:t>
      </w:r>
      <w:r w:rsidR="00B37BB2">
        <w:rPr>
          <w:bCs/>
        </w:rPr>
        <w:t>discussed</w:t>
      </w:r>
      <w:r w:rsidR="00DF6D25">
        <w:rPr>
          <w:bCs/>
        </w:rPr>
        <w:t xml:space="preserve"> the following </w:t>
      </w:r>
      <w:r w:rsidR="00B37BB2">
        <w:rPr>
          <w:bCs/>
        </w:rPr>
        <w:t xml:space="preserve">issues as captured in the WF </w:t>
      </w:r>
      <w:r w:rsidR="00B37BB2">
        <w:rPr>
          <w:bCs/>
        </w:rPr>
        <w:fldChar w:fldCharType="begin"/>
      </w:r>
      <w:r w:rsidR="00B37BB2">
        <w:rPr>
          <w:bCs/>
        </w:rPr>
        <w:instrText xml:space="preserve"> REF _Ref135050850 \r \h </w:instrText>
      </w:r>
      <w:r w:rsidR="00B37BB2">
        <w:rPr>
          <w:bCs/>
        </w:rPr>
      </w:r>
      <w:r w:rsidR="00B37BB2">
        <w:rPr>
          <w:bCs/>
        </w:rPr>
        <w:fldChar w:fldCharType="separate"/>
      </w:r>
      <w:r w:rsidR="00B37BB2">
        <w:rPr>
          <w:bCs/>
        </w:rPr>
        <w:t>[1]</w:t>
      </w:r>
      <w:r w:rsidR="00B37BB2">
        <w:rPr>
          <w:bCs/>
        </w:rPr>
        <w:fldChar w:fldCharType="end"/>
      </w:r>
      <w:r w:rsidR="00D2354A">
        <w:rPr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6D25" w14:paraId="16983D3C" w14:textId="77777777" w:rsidTr="00DF6D25">
        <w:tc>
          <w:tcPr>
            <w:tcW w:w="9629" w:type="dxa"/>
          </w:tcPr>
          <w:p w14:paraId="18B592A2" w14:textId="77777777" w:rsidR="00892939" w:rsidRDefault="00892939" w:rsidP="00892939">
            <w:pPr>
              <w:spacing w:before="120"/>
              <w:rPr>
                <w:rFonts w:ascii="Times New Roman" w:eastAsia="SimSun" w:hAnsi="Times New Roman" w:cs="Times New Roman"/>
                <w:b/>
                <w:bCs/>
                <w:u w:val="single"/>
                <w:lang w:eastAsia="en-GB"/>
              </w:rPr>
            </w:pPr>
            <w:r>
              <w:rPr>
                <w:b/>
                <w:bCs/>
                <w:u w:val="single"/>
                <w:lang w:eastAsia="en-GB"/>
              </w:rPr>
              <w:t>Issue 2-1-3: Relation with Rel-16/Rel-17 positioning:</w:t>
            </w:r>
          </w:p>
          <w:p w14:paraId="08C70023" w14:textId="77777777" w:rsidR="00892939" w:rsidRDefault="00892939" w:rsidP="00892939">
            <w:pPr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Agreements</w:t>
            </w:r>
            <w:r>
              <w:rPr>
                <w:rFonts w:eastAsiaTheme="minorEastAsia"/>
                <w:i/>
                <w:highlight w:val="green"/>
                <w:lang w:val="en-US" w:eastAsia="zh-CN"/>
              </w:rPr>
              <w:t>:</w:t>
            </w:r>
          </w:p>
          <w:p w14:paraId="555CE36E" w14:textId="77777777" w:rsidR="00892939" w:rsidRDefault="00892939" w:rsidP="00892939">
            <w:pPr>
              <w:numPr>
                <w:ilvl w:val="0"/>
                <w:numId w:val="40"/>
              </w:numPr>
              <w:spacing w:after="0" w:line="252" w:lineRule="auto"/>
              <w:rPr>
                <w:rFonts w:eastAsia="SimSun"/>
                <w:lang w:val="en-US" w:eastAsia="ja-JP"/>
              </w:rPr>
            </w:pPr>
            <w:r>
              <w:rPr>
                <w:lang w:val="en-US" w:eastAsia="zh-CN"/>
              </w:rPr>
              <w:t xml:space="preserve">PRS requirements </w:t>
            </w:r>
            <w:r>
              <w:rPr>
                <w:u w:val="single"/>
                <w:lang w:val="en-US" w:eastAsia="zh-CN"/>
              </w:rPr>
              <w:t>without frequency hopping</w:t>
            </w:r>
            <w:r>
              <w:rPr>
                <w:lang w:val="en-US" w:eastAsia="zh-CN"/>
              </w:rPr>
              <w:t xml:space="preserve"> (FH):</w:t>
            </w:r>
          </w:p>
          <w:p w14:paraId="678DCCF3" w14:textId="77777777" w:rsidR="00892939" w:rsidRDefault="00892939" w:rsidP="00892939">
            <w:pPr>
              <w:numPr>
                <w:ilvl w:val="1"/>
                <w:numId w:val="40"/>
              </w:numPr>
              <w:spacing w:before="120" w:after="0" w:line="240" w:lineRule="auto"/>
              <w:rPr>
                <w:lang w:val="en-US" w:eastAsia="ja-JP"/>
              </w:rPr>
            </w:pPr>
            <w:r>
              <w:rPr>
                <w:lang w:val="en-US" w:eastAsia="ja-JP"/>
              </w:rPr>
              <w:t>Option 1: HW, E///, QC, CATT, OPPO, Nokia</w:t>
            </w:r>
          </w:p>
          <w:p w14:paraId="45FC65E3" w14:textId="77777777" w:rsidR="00892939" w:rsidRDefault="00892939" w:rsidP="00892939">
            <w:pPr>
              <w:numPr>
                <w:ilvl w:val="2"/>
                <w:numId w:val="40"/>
              </w:numPr>
              <w:spacing w:before="120" w:after="0" w:line="240" w:lineRule="auto"/>
              <w:rPr>
                <w:lang w:val="en-US" w:eastAsia="ja-JP"/>
              </w:rPr>
            </w:pPr>
            <w:r>
              <w:rPr>
                <w:lang w:val="en-US" w:eastAsia="zh-CN"/>
              </w:rPr>
              <w:t xml:space="preserve">PRS requirements for </w:t>
            </w:r>
            <w:r>
              <w:rPr>
                <w:u w:val="single"/>
                <w:lang w:val="en-US" w:eastAsia="zh-CN"/>
              </w:rPr>
              <w:t>both 1Rx and 2Rx</w:t>
            </w:r>
            <w:r>
              <w:rPr>
                <w:lang w:val="en-US" w:eastAsia="zh-CN"/>
              </w:rPr>
              <w:t xml:space="preserve"> RedCap UE </w:t>
            </w:r>
            <w:r>
              <w:rPr>
                <w:u w:val="single"/>
                <w:lang w:val="en-US" w:eastAsia="zh-CN"/>
              </w:rPr>
              <w:t xml:space="preserve">without </w:t>
            </w:r>
            <w:r>
              <w:rPr>
                <w:lang w:val="en-US" w:eastAsia="zh-CN"/>
              </w:rPr>
              <w:t>FH shall be defined for all the Rel-16/Rel-17 positioning features/techniques.</w:t>
            </w:r>
          </w:p>
          <w:p w14:paraId="7EDD869C" w14:textId="77777777" w:rsidR="00892939" w:rsidRDefault="00892939" w:rsidP="00892939">
            <w:pPr>
              <w:numPr>
                <w:ilvl w:val="1"/>
                <w:numId w:val="40"/>
              </w:numPr>
              <w:spacing w:before="120" w:after="0" w:line="240" w:lineRule="auto"/>
              <w:rPr>
                <w:lang w:val="en-US" w:eastAsia="ja-JP"/>
              </w:rPr>
            </w:pPr>
            <w:r>
              <w:rPr>
                <w:lang w:val="en-US" w:eastAsia="ja-JP"/>
              </w:rPr>
              <w:t>Option 2: MTK</w:t>
            </w:r>
          </w:p>
          <w:p w14:paraId="13820403" w14:textId="77777777" w:rsidR="00892939" w:rsidRDefault="00892939" w:rsidP="00892939">
            <w:pPr>
              <w:numPr>
                <w:ilvl w:val="2"/>
                <w:numId w:val="40"/>
              </w:numPr>
              <w:spacing w:before="120" w:after="0" w:line="240" w:lineRule="auto"/>
              <w:rPr>
                <w:lang w:val="en-US" w:eastAsia="ja-JP"/>
              </w:rPr>
            </w:pPr>
            <w:r>
              <w:rPr>
                <w:lang w:val="en-US" w:eastAsia="zh-CN"/>
              </w:rPr>
              <w:t xml:space="preserve">PRS requirements for </w:t>
            </w:r>
            <w:r>
              <w:rPr>
                <w:u w:val="single"/>
                <w:lang w:val="en-US" w:eastAsia="zh-CN"/>
              </w:rPr>
              <w:t xml:space="preserve">1Rx </w:t>
            </w:r>
            <w:r>
              <w:rPr>
                <w:lang w:val="en-US" w:eastAsia="zh-CN"/>
              </w:rPr>
              <w:t xml:space="preserve">RedCap UE </w:t>
            </w:r>
            <w:r>
              <w:rPr>
                <w:u w:val="single"/>
                <w:lang w:val="en-US" w:eastAsia="zh-CN"/>
              </w:rPr>
              <w:t xml:space="preserve">without </w:t>
            </w:r>
            <w:r>
              <w:rPr>
                <w:lang w:val="en-US" w:eastAsia="zh-CN"/>
              </w:rPr>
              <w:t>FH shall be defined for all the Rel-16 positioning features/techniques.</w:t>
            </w:r>
          </w:p>
          <w:p w14:paraId="7DE0ABF2" w14:textId="77777777" w:rsidR="00892939" w:rsidRDefault="00892939" w:rsidP="00892939">
            <w:pPr>
              <w:numPr>
                <w:ilvl w:val="2"/>
                <w:numId w:val="40"/>
              </w:numPr>
              <w:spacing w:before="120" w:after="0" w:line="240" w:lineRule="auto"/>
              <w:rPr>
                <w:lang w:val="en-US" w:eastAsia="ja-JP"/>
              </w:rPr>
            </w:pPr>
            <w:r>
              <w:rPr>
                <w:lang w:val="en-US" w:eastAsia="zh-CN"/>
              </w:rPr>
              <w:t xml:space="preserve">PRS requirements for </w:t>
            </w:r>
            <w:r>
              <w:rPr>
                <w:u w:val="single"/>
                <w:lang w:val="en-US" w:eastAsia="zh-CN"/>
              </w:rPr>
              <w:t xml:space="preserve">2 Rx </w:t>
            </w:r>
            <w:r>
              <w:rPr>
                <w:lang w:val="en-US" w:eastAsia="zh-CN"/>
              </w:rPr>
              <w:t xml:space="preserve">RedCap UE </w:t>
            </w:r>
            <w:r>
              <w:rPr>
                <w:u w:val="single"/>
                <w:lang w:val="en-US" w:eastAsia="zh-CN"/>
              </w:rPr>
              <w:t xml:space="preserve">without </w:t>
            </w:r>
            <w:r>
              <w:rPr>
                <w:lang w:val="en-US" w:eastAsia="zh-CN"/>
              </w:rPr>
              <w:t>FH shall be defined for all the Rel-16/Rel-17 positioning features/techniques.</w:t>
            </w:r>
          </w:p>
          <w:p w14:paraId="2F316058" w14:textId="77777777" w:rsidR="00892939" w:rsidRDefault="00892939" w:rsidP="00892939">
            <w:pPr>
              <w:numPr>
                <w:ilvl w:val="0"/>
                <w:numId w:val="40"/>
              </w:numPr>
              <w:spacing w:before="120" w:after="0" w:line="240" w:lineRule="auto"/>
              <w:rPr>
                <w:lang w:val="en-US" w:eastAsia="ja-JP"/>
              </w:rPr>
            </w:pPr>
            <w:r>
              <w:rPr>
                <w:lang w:val="en-US" w:eastAsia="zh-CN"/>
              </w:rPr>
              <w:t xml:space="preserve">PRS requirements </w:t>
            </w:r>
            <w:r>
              <w:rPr>
                <w:u w:val="single"/>
                <w:lang w:val="en-US" w:eastAsia="zh-CN"/>
              </w:rPr>
              <w:t xml:space="preserve">with </w:t>
            </w:r>
            <w:r>
              <w:rPr>
                <w:lang w:val="en-US" w:eastAsia="zh-CN"/>
              </w:rPr>
              <w:t>FH:</w:t>
            </w:r>
          </w:p>
          <w:p w14:paraId="1449EC82" w14:textId="77777777" w:rsidR="00892939" w:rsidRDefault="00892939" w:rsidP="00892939">
            <w:pPr>
              <w:numPr>
                <w:ilvl w:val="1"/>
                <w:numId w:val="40"/>
              </w:numPr>
              <w:spacing w:before="120" w:after="0" w:line="240" w:lineRule="auto"/>
              <w:rPr>
                <w:lang w:val="en-US" w:eastAsia="ja-JP"/>
              </w:rPr>
            </w:pPr>
            <w:r>
              <w:rPr>
                <w:lang w:val="en-US" w:eastAsia="zh-CN"/>
              </w:rPr>
              <w:lastRenderedPageBreak/>
              <w:t xml:space="preserve">The Rel-16/Rel-17 positioning features/techniques for which the PRS requirements for RedCap UE </w:t>
            </w:r>
            <w:r>
              <w:rPr>
                <w:u w:val="single"/>
                <w:lang w:val="en-US" w:eastAsia="zh-CN"/>
              </w:rPr>
              <w:t>with</w:t>
            </w:r>
            <w:r>
              <w:rPr>
                <w:lang w:val="en-US" w:eastAsia="zh-CN"/>
              </w:rPr>
              <w:t xml:space="preserve"> FH will be defined can be decided on case-by-case basis and based on RAN1 agreements on the FH.</w:t>
            </w:r>
            <w:r>
              <w:rPr>
                <w:lang w:val="en-US" w:eastAsia="ja-JP"/>
              </w:rPr>
              <w:t xml:space="preserve"> Details are FFS.</w:t>
            </w:r>
          </w:p>
          <w:p w14:paraId="7302F736" w14:textId="77777777" w:rsidR="00892939" w:rsidRDefault="00892939" w:rsidP="00892939">
            <w:pPr>
              <w:numPr>
                <w:ilvl w:val="0"/>
                <w:numId w:val="40"/>
              </w:numPr>
              <w:spacing w:before="120" w:after="0" w:line="240" w:lineRule="auto"/>
              <w:rPr>
                <w:lang w:val="en-US" w:eastAsia="ja-JP"/>
              </w:rPr>
            </w:pPr>
            <w:r>
              <w:rPr>
                <w:u w:val="single"/>
                <w:lang w:val="en-US" w:eastAsia="ja-JP"/>
              </w:rPr>
              <w:t>NOTE:</w:t>
            </w:r>
            <w:r>
              <w:rPr>
                <w:lang w:val="en-US" w:eastAsia="ja-JP"/>
              </w:rPr>
              <w:t xml:space="preserve"> </w:t>
            </w:r>
          </w:p>
          <w:p w14:paraId="53D2D777" w14:textId="77777777" w:rsidR="00892939" w:rsidRDefault="00892939" w:rsidP="00892939">
            <w:pPr>
              <w:numPr>
                <w:ilvl w:val="1"/>
                <w:numId w:val="40"/>
              </w:numPr>
              <w:spacing w:before="120" w:after="0" w:line="240" w:lineRule="auto"/>
              <w:rPr>
                <w:sz w:val="20"/>
                <w:szCs w:val="20"/>
                <w:lang w:val="en-US" w:eastAsia="ja-JP"/>
              </w:rPr>
            </w:pPr>
            <w:r>
              <w:rPr>
                <w:lang w:val="en-US" w:eastAsia="ja-JP"/>
              </w:rPr>
              <w:t>Rel-16 features/techniques refer to: measurement with gaps in RRC connected, 4-samples measurement in RRC connected.</w:t>
            </w:r>
          </w:p>
          <w:p w14:paraId="100B2507" w14:textId="77DC821F" w:rsidR="00DF6D25" w:rsidRPr="00892939" w:rsidRDefault="00892939" w:rsidP="00892939">
            <w:pPr>
              <w:numPr>
                <w:ilvl w:val="1"/>
                <w:numId w:val="40"/>
              </w:numPr>
              <w:spacing w:before="120" w:after="0" w:line="240" w:lineRule="auto"/>
              <w:rPr>
                <w:lang w:val="en-US" w:eastAsia="ja-JP"/>
              </w:rPr>
            </w:pPr>
            <w:r>
              <w:rPr>
                <w:lang w:val="en-US" w:eastAsia="ja-JP"/>
              </w:rPr>
              <w:t>Rel-17 features/techniques refer to: measurement without gaps in RRC connected, measurement in RRC inactive, reduced-sample measurement in RRC connected/inactive, Tx/Rx timing mitigation with TEG in RRC connected/inactive, FR2 with reduced Rx beam sweeping factor in RRC connected/inactive.</w:t>
            </w:r>
          </w:p>
        </w:tc>
      </w:tr>
    </w:tbl>
    <w:p w14:paraId="3D678558" w14:textId="77777777" w:rsidR="00DF6D25" w:rsidRDefault="00DF6D25" w:rsidP="003A0922">
      <w:pPr>
        <w:jc w:val="both"/>
        <w:rPr>
          <w:bCs/>
        </w:rPr>
      </w:pPr>
    </w:p>
    <w:p w14:paraId="71B539A7" w14:textId="611983C7" w:rsidR="007E33F5" w:rsidRDefault="00B37BB2" w:rsidP="0087355B">
      <w:pPr>
        <w:jc w:val="both"/>
        <w:rPr>
          <w:bCs/>
        </w:rPr>
      </w:pPr>
      <w:r>
        <w:rPr>
          <w:bCs/>
        </w:rPr>
        <w:t xml:space="preserve">For Issue 2-1-3, the intention of Option 2 is to point out </w:t>
      </w:r>
      <w:r w:rsidR="00207287">
        <w:rPr>
          <w:bCs/>
        </w:rPr>
        <w:t>that all the enhancement related to FR2 is not applicable to 1Rx (e.g., reduced Rx beam sweeping factor)</w:t>
      </w:r>
      <w:r w:rsidR="007E33F5">
        <w:rPr>
          <w:bCs/>
        </w:rPr>
        <w:t>. In other words,</w:t>
      </w:r>
      <w:r w:rsidR="00527107">
        <w:rPr>
          <w:bCs/>
        </w:rPr>
        <w:t xml:space="preserve"> it is not very accurate to</w:t>
      </w:r>
      <w:r w:rsidR="007E33F5">
        <w:rPr>
          <w:bCs/>
        </w:rPr>
        <w:t xml:space="preserve"> say</w:t>
      </w:r>
      <w:r w:rsidR="00527107">
        <w:rPr>
          <w:bCs/>
        </w:rPr>
        <w:t xml:space="preserve"> that</w:t>
      </w:r>
      <w:r w:rsidR="007E33F5">
        <w:rPr>
          <w:bCs/>
        </w:rPr>
        <w:t xml:space="preserve"> </w:t>
      </w:r>
      <w:r w:rsidR="007E33F5" w:rsidRPr="005907DC">
        <w:rPr>
          <w:bCs/>
        </w:rPr>
        <w:t>all</w:t>
      </w:r>
      <w:r w:rsidR="007E33F5">
        <w:rPr>
          <w:bCs/>
        </w:rPr>
        <w:t xml:space="preserve"> </w:t>
      </w:r>
      <w:r w:rsidR="007E33F5" w:rsidRPr="005907DC">
        <w:rPr>
          <w:bCs/>
        </w:rPr>
        <w:t>Rel-17 positioning features/techniques</w:t>
      </w:r>
      <w:r w:rsidR="007E33F5">
        <w:rPr>
          <w:bCs/>
        </w:rPr>
        <w:t xml:space="preserve"> shall be defined </w:t>
      </w:r>
      <w:r w:rsidR="00527107" w:rsidRPr="005907DC">
        <w:rPr>
          <w:bCs/>
        </w:rPr>
        <w:t>for 1Rx RedCap UE</w:t>
      </w:r>
      <w:r w:rsidR="00527107">
        <w:rPr>
          <w:bCs/>
        </w:rPr>
        <w:t>. Therefore, the wording in Option 1 can be revised or clarified by adding a note</w:t>
      </w:r>
      <w:r w:rsidR="00F80419">
        <w:rPr>
          <w:bCs/>
        </w:rPr>
        <w:t xml:space="preserve"> saying that: </w:t>
      </w:r>
      <w:r w:rsidR="00527107">
        <w:rPr>
          <w:bCs/>
        </w:rPr>
        <w:t>all the enhancement related to FR2 is not applicable to 1Rx</w:t>
      </w:r>
      <w:r w:rsidR="00F80419">
        <w:rPr>
          <w:bCs/>
        </w:rPr>
        <w:t>.</w:t>
      </w:r>
    </w:p>
    <w:p w14:paraId="24B1F532" w14:textId="36A29610" w:rsidR="00F80419" w:rsidRDefault="00F80419" w:rsidP="00F80419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Pr="00F80419">
        <w:rPr>
          <w:b/>
          <w:bCs/>
        </w:rPr>
        <w:t>PRS requirements for both 1Rx and 2Rx RedCap UE without FH shall be defined for all the Rel-16/Rel-17 positioning features/techniques.</w:t>
      </w:r>
      <w:r>
        <w:rPr>
          <w:b/>
          <w:bCs/>
        </w:rPr>
        <w:t xml:space="preserve"> (Note:</w:t>
      </w:r>
      <w:r w:rsidRPr="00F80419">
        <w:t xml:space="preserve"> </w:t>
      </w:r>
      <w:r w:rsidRPr="00F80419">
        <w:rPr>
          <w:b/>
          <w:bCs/>
        </w:rPr>
        <w:t>all the enhancement related to FR2 is not applicable to 1Rx</w:t>
      </w:r>
      <w:r>
        <w:rPr>
          <w:b/>
          <w:bCs/>
        </w:rPr>
        <w:t>)</w:t>
      </w:r>
      <w:r w:rsidR="004F5B1D">
        <w:rPr>
          <w:b/>
          <w:bCs/>
        </w:rPr>
        <w:t>.</w:t>
      </w:r>
    </w:p>
    <w:p w14:paraId="5B297EC4" w14:textId="1663ADD8" w:rsidR="00B37BB2" w:rsidRDefault="00B37BB2" w:rsidP="0087355B">
      <w:pPr>
        <w:jc w:val="both"/>
        <w:rPr>
          <w:bCs/>
        </w:rPr>
      </w:pPr>
    </w:p>
    <w:p w14:paraId="0910FCA2" w14:textId="36E3E8BF" w:rsidR="004F5B1D" w:rsidRDefault="00EA27F8" w:rsidP="0087355B">
      <w:pPr>
        <w:jc w:val="both"/>
        <w:rPr>
          <w:bCs/>
        </w:rPr>
      </w:pPr>
      <w:r>
        <w:rPr>
          <w:bCs/>
        </w:rPr>
        <w:t xml:space="preserve">RAN4 has also discussed the side conditions for </w:t>
      </w:r>
      <w:r w:rsidRPr="00EA27F8">
        <w:rPr>
          <w:bCs/>
        </w:rPr>
        <w:t>PRS measurements for RedCap without FH</w:t>
      </w:r>
      <w:r>
        <w:rPr>
          <w:bCs/>
        </w:rPr>
        <w:t xml:space="preserve">. </w:t>
      </w:r>
      <w:r w:rsidRPr="00EA27F8">
        <w:rPr>
          <w:bCs/>
        </w:rPr>
        <w:t>In the last meeting</w:t>
      </w:r>
      <w:r>
        <w:rPr>
          <w:bCs/>
        </w:rPr>
        <w:t>, it was agreed that, for 2Rx RedCap UE, the side conditions defined in R17 can be reused for defining corresponding requirements for 2Rx RedCap UE</w:t>
      </w:r>
      <w:r w:rsidR="00A14209">
        <w:rPr>
          <w:bCs/>
        </w:rPr>
        <w:t xml:space="preserve"> </w:t>
      </w:r>
      <w:r w:rsidR="00E563DD">
        <w:rPr>
          <w:bCs/>
        </w:rPr>
        <w:t>(</w:t>
      </w:r>
      <w:r w:rsidR="00A14209">
        <w:rPr>
          <w:bCs/>
        </w:rPr>
        <w:t xml:space="preserve">as </w:t>
      </w:r>
      <w:r w:rsidR="00E563DD">
        <w:rPr>
          <w:bCs/>
        </w:rPr>
        <w:t>shown</w:t>
      </w:r>
      <w:r w:rsidR="00A14209">
        <w:rPr>
          <w:bCs/>
        </w:rPr>
        <w:t xml:space="preserve"> below </w:t>
      </w:r>
      <w:r w:rsidR="00A14209">
        <w:rPr>
          <w:bCs/>
        </w:rPr>
        <w:fldChar w:fldCharType="begin"/>
      </w:r>
      <w:r w:rsidR="00A14209">
        <w:rPr>
          <w:bCs/>
        </w:rPr>
        <w:instrText xml:space="preserve"> REF _Ref135050850 \r \h </w:instrText>
      </w:r>
      <w:r w:rsidR="00A14209">
        <w:rPr>
          <w:bCs/>
        </w:rPr>
      </w:r>
      <w:r w:rsidR="00A14209">
        <w:rPr>
          <w:bCs/>
        </w:rPr>
        <w:fldChar w:fldCharType="separate"/>
      </w:r>
      <w:r w:rsidR="00A14209">
        <w:rPr>
          <w:bCs/>
        </w:rPr>
        <w:t>[1]</w:t>
      </w:r>
      <w:r w:rsidR="00A14209">
        <w:rPr>
          <w:bCs/>
        </w:rPr>
        <w:fldChar w:fldCharType="end"/>
      </w:r>
      <w:r w:rsidR="00E563DD">
        <w:rPr>
          <w:bCs/>
        </w:rPr>
        <w:t xml:space="preserve">). However, the side conditions for 1Rx RedCap UE without FH are still under discussion.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4209" w14:paraId="3346FE9B" w14:textId="77777777" w:rsidTr="00A14209">
        <w:tc>
          <w:tcPr>
            <w:tcW w:w="9629" w:type="dxa"/>
          </w:tcPr>
          <w:p w14:paraId="0ED914CC" w14:textId="77777777" w:rsidR="00662F53" w:rsidRDefault="00662F53" w:rsidP="00662F53">
            <w:pPr>
              <w:spacing w:before="120"/>
              <w:rPr>
                <w:rFonts w:ascii="Times New Roman" w:eastAsia="SimSun" w:hAnsi="Times New Roman" w:cs="Times New Roman"/>
                <w:b/>
                <w:bCs/>
                <w:u w:val="single"/>
                <w:lang w:eastAsia="en-GB"/>
              </w:rPr>
            </w:pPr>
            <w:r>
              <w:rPr>
                <w:b/>
                <w:bCs/>
                <w:u w:val="single"/>
                <w:lang w:eastAsia="en-GB"/>
              </w:rPr>
              <w:t>Issue 2-2-1: Side conditions for 2Rx without FH:</w:t>
            </w:r>
          </w:p>
          <w:p w14:paraId="38FF925A" w14:textId="77777777" w:rsidR="00662F53" w:rsidRDefault="00662F53" w:rsidP="00662F53">
            <w:pPr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Agreements</w:t>
            </w:r>
            <w:r>
              <w:rPr>
                <w:rFonts w:eastAsiaTheme="minorEastAsia"/>
                <w:i/>
                <w:highlight w:val="green"/>
                <w:lang w:val="en-US" w:eastAsia="zh-CN"/>
              </w:rPr>
              <w:t>:</w:t>
            </w:r>
          </w:p>
          <w:p w14:paraId="3F9E6209" w14:textId="77777777" w:rsidR="00662F53" w:rsidRDefault="00662F53" w:rsidP="00662F5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contextualSpacing/>
              <w:rPr>
                <w:rFonts w:ascii="Times New Roman" w:eastAsia="SimSu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eastAsia="ja-JP"/>
              </w:rPr>
              <w:t>The side conditions (PRS Es/Iot) defined in Rel-17 are reused for defining corresponding PRS requirements for 2Rx RedCap UE without FH.</w:t>
            </w:r>
          </w:p>
          <w:p w14:paraId="3A23B6DB" w14:textId="77777777" w:rsidR="00662F53" w:rsidRDefault="00662F53" w:rsidP="00662F53">
            <w:pPr>
              <w:spacing w:before="240"/>
              <w:rPr>
                <w:rFonts w:ascii="Times New Roman" w:hAnsi="Times New Roman"/>
                <w:b/>
                <w:bCs/>
                <w:u w:val="single"/>
                <w:lang w:eastAsia="en-GB"/>
              </w:rPr>
            </w:pPr>
            <w:r>
              <w:rPr>
                <w:b/>
                <w:bCs/>
                <w:u w:val="single"/>
                <w:lang w:eastAsia="en-GB"/>
              </w:rPr>
              <w:t>Issue 2-2-2: Side conditions for 1Rx without FH:</w:t>
            </w:r>
          </w:p>
          <w:p w14:paraId="072AC342" w14:textId="77777777" w:rsidR="00662F53" w:rsidRDefault="00662F53" w:rsidP="00662F53">
            <w:pPr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Agreements</w:t>
            </w:r>
            <w:r>
              <w:rPr>
                <w:rFonts w:eastAsiaTheme="minorEastAsia"/>
                <w:i/>
                <w:highlight w:val="green"/>
                <w:lang w:val="en-US" w:eastAsia="zh-CN"/>
              </w:rPr>
              <w:t>:</w:t>
            </w:r>
          </w:p>
          <w:p w14:paraId="0E916A56" w14:textId="77777777" w:rsidR="00662F53" w:rsidRDefault="00662F53" w:rsidP="00662F53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/>
              <w:rPr>
                <w:rFonts w:ascii="Times New Roman" w:eastAsia="SimSun" w:hAnsi="Times New Roman"/>
                <w:lang w:val="en-US" w:eastAsia="ja-JP"/>
              </w:rPr>
            </w:pPr>
            <w:r>
              <w:rPr>
                <w:rFonts w:ascii="Times New Roman" w:hAnsi="Times New Roman"/>
              </w:rPr>
              <w:t>Side conditions for 1Rx without FH</w:t>
            </w:r>
          </w:p>
          <w:p w14:paraId="7BA910EC" w14:textId="77777777" w:rsidR="00662F53" w:rsidRDefault="00662F53" w:rsidP="00662F53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</w:rPr>
              <w:t>For AWGN channel, re-use the Rel-17 side conditions, and relax accuracy requirements</w:t>
            </w:r>
          </w:p>
          <w:p w14:paraId="1FFB29F8" w14:textId="77777777" w:rsidR="00662F53" w:rsidRDefault="00662F53" w:rsidP="00662F53">
            <w:pPr>
              <w:pStyle w:val="ListParagraph"/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</w:rPr>
              <w:t>The agreement applies for 4 measurement samples case. FFS if it applies for lower number of samples.</w:t>
            </w:r>
          </w:p>
          <w:p w14:paraId="0185C8DE" w14:textId="77777777" w:rsidR="00662F53" w:rsidRDefault="00662F53" w:rsidP="00662F53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</w:rPr>
              <w:t>FFS for fading channel</w:t>
            </w:r>
          </w:p>
          <w:p w14:paraId="0477A1DA" w14:textId="77777777" w:rsidR="00662F53" w:rsidRDefault="00662F53" w:rsidP="00662F53">
            <w:pPr>
              <w:pStyle w:val="ListParagraph"/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</w:rPr>
              <w:t>Option 1: Reuse Rel-17 side conditions and relax accuracy requirements</w:t>
            </w:r>
          </w:p>
          <w:p w14:paraId="7C88DA52" w14:textId="77777777" w:rsidR="00662F53" w:rsidRDefault="00662F53" w:rsidP="00662F53">
            <w:pPr>
              <w:pStyle w:val="ListParagraph"/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</w:rPr>
              <w:t>Option 2: Reuse approximately Rel-17 accuracy requirements and relax the side condition</w:t>
            </w:r>
          </w:p>
          <w:p w14:paraId="7312CCC8" w14:textId="2539BE8A" w:rsidR="00A14209" w:rsidRPr="00662F53" w:rsidRDefault="00662F53" w:rsidP="00662F53">
            <w:pPr>
              <w:spacing w:after="120" w:line="252" w:lineRule="auto"/>
              <w:rPr>
                <w:rFonts w:ascii="Times New Roman" w:hAnsi="Times New Roman"/>
                <w:lang w:eastAsia="ja-JP"/>
              </w:rPr>
            </w:pPr>
            <w:r>
              <w:rPr>
                <w:lang w:eastAsia="ja-JP"/>
              </w:rPr>
              <w:t>Note: Updated simulation assumptions to address open issues are discussed under issue 2-2-8</w:t>
            </w:r>
          </w:p>
        </w:tc>
      </w:tr>
    </w:tbl>
    <w:p w14:paraId="2F860E9C" w14:textId="597D8154" w:rsidR="004F5B1D" w:rsidRDefault="004F5B1D" w:rsidP="0087355B">
      <w:pPr>
        <w:jc w:val="both"/>
        <w:rPr>
          <w:bCs/>
        </w:rPr>
      </w:pPr>
    </w:p>
    <w:p w14:paraId="3CFA5C64" w14:textId="25895EA7" w:rsidR="008B0E36" w:rsidRDefault="001437DC" w:rsidP="008B0E36">
      <w:pPr>
        <w:jc w:val="both"/>
        <w:rPr>
          <w:bCs/>
        </w:rPr>
      </w:pPr>
      <w:r>
        <w:rPr>
          <w:bCs/>
        </w:rPr>
        <w:lastRenderedPageBreak/>
        <w:t>For Issue 2-2-2</w:t>
      </w:r>
      <w:r w:rsidR="008B0E36">
        <w:rPr>
          <w:bCs/>
        </w:rPr>
        <w:t xml:space="preserve">, for </w:t>
      </w:r>
      <w:r w:rsidR="00047302">
        <w:rPr>
          <w:bCs/>
        </w:rPr>
        <w:t>AWGN</w:t>
      </w:r>
      <w:r w:rsidR="008B0E36">
        <w:rPr>
          <w:bCs/>
        </w:rPr>
        <w:t xml:space="preserve"> channel, we think </w:t>
      </w:r>
      <w:r w:rsidR="008B0E36" w:rsidRPr="008B0E36">
        <w:rPr>
          <w:bCs/>
        </w:rPr>
        <w:t>Rel-17 side conditions</w:t>
      </w:r>
      <w:r w:rsidR="008B0E36">
        <w:rPr>
          <w:bCs/>
        </w:rPr>
        <w:t xml:space="preserve"> can be reused with</w:t>
      </w:r>
      <w:r w:rsidR="008B0E36" w:rsidRPr="008B0E36">
        <w:rPr>
          <w:bCs/>
        </w:rPr>
        <w:t xml:space="preserve"> relax</w:t>
      </w:r>
      <w:r w:rsidR="008B0E36">
        <w:rPr>
          <w:bCs/>
        </w:rPr>
        <w:t>ing</w:t>
      </w:r>
      <w:r w:rsidR="008B0E36" w:rsidRPr="008B0E36">
        <w:rPr>
          <w:bCs/>
        </w:rPr>
        <w:t xml:space="preserve"> </w:t>
      </w:r>
      <w:r w:rsidR="00EE74CA">
        <w:rPr>
          <w:bCs/>
        </w:rPr>
        <w:t xml:space="preserve">the </w:t>
      </w:r>
      <w:r w:rsidR="008B0E36" w:rsidRPr="008B0E36">
        <w:rPr>
          <w:bCs/>
        </w:rPr>
        <w:t>accuracy requirements</w:t>
      </w:r>
      <w:r w:rsidR="008B0E36">
        <w:rPr>
          <w:bCs/>
        </w:rPr>
        <w:t xml:space="preserve"> for both 4 and 1 measurement samples. However, for fading channel</w:t>
      </w:r>
      <w:r>
        <w:rPr>
          <w:bCs/>
        </w:rPr>
        <w:t xml:space="preserve"> our</w:t>
      </w:r>
      <w:r w:rsidR="0013166C">
        <w:rPr>
          <w:bCs/>
        </w:rPr>
        <w:t xml:space="preserve"> simulation result cannot pass </w:t>
      </w:r>
      <w:r>
        <w:rPr>
          <w:bCs/>
        </w:rPr>
        <w:t>based on the</w:t>
      </w:r>
      <w:r w:rsidR="00EE74CA">
        <w:rPr>
          <w:bCs/>
        </w:rPr>
        <w:t xml:space="preserve"> existing </w:t>
      </w:r>
      <w:r w:rsidR="0013166C">
        <w:rPr>
          <w:bCs/>
        </w:rPr>
        <w:t xml:space="preserve">side conditions. Therefore, the side conditions for fading channel need to be relaxed as well as the </w:t>
      </w:r>
      <w:r w:rsidR="0018352B">
        <w:rPr>
          <w:bCs/>
        </w:rPr>
        <w:t xml:space="preserve">accuracy. </w:t>
      </w:r>
      <w:r w:rsidR="0085634F">
        <w:rPr>
          <w:rFonts w:ascii="Calibri" w:hAnsi="Calibri" w:cs="Calibri"/>
        </w:rPr>
        <w:t xml:space="preserve">As a result, we </w:t>
      </w:r>
      <w:r w:rsidR="00A45CC0">
        <w:rPr>
          <w:rFonts w:ascii="Calibri" w:hAnsi="Calibri" w:cs="Calibri"/>
        </w:rPr>
        <w:t>prefer</w:t>
      </w:r>
      <w:r w:rsidR="0085634F">
        <w:rPr>
          <w:rFonts w:ascii="Calibri" w:hAnsi="Calibri" w:cs="Calibri"/>
        </w:rPr>
        <w:t xml:space="preserve"> Option 2, and the exact value can be further studied.</w:t>
      </w:r>
    </w:p>
    <w:p w14:paraId="0596F958" w14:textId="77777777" w:rsidR="00470206" w:rsidRDefault="00470206" w:rsidP="00470206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2: The s</w:t>
      </w:r>
      <w:r w:rsidRPr="00EE74CA">
        <w:rPr>
          <w:b/>
          <w:bCs/>
        </w:rPr>
        <w:t xml:space="preserve">ide conditions for </w:t>
      </w:r>
      <w:r>
        <w:rPr>
          <w:b/>
          <w:bCs/>
        </w:rPr>
        <w:t xml:space="preserve">fading channel for </w:t>
      </w:r>
      <w:r w:rsidRPr="00EE74CA">
        <w:rPr>
          <w:b/>
          <w:bCs/>
        </w:rPr>
        <w:t xml:space="preserve">1Rx </w:t>
      </w:r>
      <w:r>
        <w:rPr>
          <w:b/>
          <w:bCs/>
        </w:rPr>
        <w:t xml:space="preserve">RedCap UE </w:t>
      </w:r>
      <w:r w:rsidRPr="00EE74CA">
        <w:rPr>
          <w:b/>
          <w:bCs/>
        </w:rPr>
        <w:t>without FH</w:t>
      </w:r>
      <w:r>
        <w:rPr>
          <w:b/>
          <w:bCs/>
        </w:rPr>
        <w:t xml:space="preserve">: </w:t>
      </w:r>
      <w:r w:rsidRPr="00EE74CA">
        <w:rPr>
          <w:b/>
          <w:bCs/>
        </w:rPr>
        <w:t xml:space="preserve">relax </w:t>
      </w:r>
      <w:r>
        <w:rPr>
          <w:b/>
          <w:bCs/>
        </w:rPr>
        <w:t xml:space="preserve">Rel-17 </w:t>
      </w:r>
      <w:r w:rsidRPr="00EE74CA">
        <w:rPr>
          <w:b/>
          <w:bCs/>
        </w:rPr>
        <w:t>side condition</w:t>
      </w:r>
      <w:r>
        <w:rPr>
          <w:b/>
          <w:bCs/>
        </w:rPr>
        <w:t>s and the accuracy requirements.</w:t>
      </w:r>
    </w:p>
    <w:p w14:paraId="0681A9E3" w14:textId="77777777" w:rsidR="00C46E31" w:rsidRPr="0090120A" w:rsidRDefault="00C46E31" w:rsidP="004F703A">
      <w:pPr>
        <w:jc w:val="both"/>
        <w:rPr>
          <w:lang w:val="en-US" w:eastAsia="zh-CN"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41ACA455" w14:textId="3BE1E378" w:rsidR="008D0D1E" w:rsidRDefault="008D0D1E" w:rsidP="00B747D8">
      <w:pPr>
        <w:jc w:val="both"/>
        <w:rPr>
          <w:lang w:eastAsia="ja-JP"/>
        </w:rPr>
      </w:pPr>
      <w:r w:rsidRPr="004D4F98">
        <w:rPr>
          <w:lang w:eastAsia="ja-JP"/>
        </w:rPr>
        <w:t>In this contribution</w:t>
      </w:r>
      <w:r w:rsidR="001929D4">
        <w:rPr>
          <w:lang w:eastAsia="ja-JP"/>
        </w:rPr>
        <w:t xml:space="preserve">, </w:t>
      </w:r>
      <w:r w:rsidR="00375D3D">
        <w:rPr>
          <w:lang w:eastAsia="ja-JP"/>
        </w:rPr>
        <w:t>t</w:t>
      </w:r>
      <w:r>
        <w:rPr>
          <w:lang w:eastAsia="ja-JP"/>
        </w:rPr>
        <w:t xml:space="preserve">he following </w:t>
      </w:r>
      <w:r w:rsidR="001929D4">
        <w:rPr>
          <w:lang w:eastAsia="ja-JP"/>
        </w:rPr>
        <w:t>proposal</w:t>
      </w:r>
      <w:r w:rsidR="00D434BF">
        <w:rPr>
          <w:lang w:eastAsia="ja-JP"/>
        </w:rPr>
        <w:t>s</w:t>
      </w:r>
      <w:r>
        <w:rPr>
          <w:lang w:eastAsia="ja-JP"/>
        </w:rPr>
        <w:t xml:space="preserve"> </w:t>
      </w:r>
      <w:r w:rsidR="00D434BF">
        <w:rPr>
          <w:lang w:eastAsia="ja-JP"/>
        </w:rPr>
        <w:t>are</w:t>
      </w:r>
      <w:r w:rsidR="00375D3D">
        <w:rPr>
          <w:lang w:eastAsia="ja-JP"/>
        </w:rPr>
        <w:t xml:space="preserve"> </w:t>
      </w:r>
      <w:r w:rsidR="001D4A23">
        <w:rPr>
          <w:lang w:eastAsia="ja-JP"/>
        </w:rPr>
        <w:t>concluded</w:t>
      </w:r>
      <w:r>
        <w:rPr>
          <w:lang w:eastAsia="ja-JP"/>
        </w:rPr>
        <w:t>:</w:t>
      </w:r>
    </w:p>
    <w:p w14:paraId="662E36D5" w14:textId="77777777" w:rsidR="0085634F" w:rsidRDefault="0085634F" w:rsidP="0085634F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Pr="00F80419">
        <w:rPr>
          <w:b/>
          <w:bCs/>
        </w:rPr>
        <w:t>PRS requirements for both 1Rx and 2Rx RedCap UE without FH shall be defined for all the Rel-16/Rel-17 positioning features/techniques.</w:t>
      </w:r>
      <w:r>
        <w:rPr>
          <w:b/>
          <w:bCs/>
        </w:rPr>
        <w:t xml:space="preserve"> (Note:</w:t>
      </w:r>
      <w:r w:rsidRPr="00F80419">
        <w:t xml:space="preserve"> </w:t>
      </w:r>
      <w:r w:rsidRPr="00F80419">
        <w:rPr>
          <w:b/>
          <w:bCs/>
        </w:rPr>
        <w:t>all the enhancement related to FR2 is not applicable to 1Rx</w:t>
      </w:r>
      <w:r>
        <w:rPr>
          <w:b/>
          <w:bCs/>
        </w:rPr>
        <w:t>).</w:t>
      </w:r>
    </w:p>
    <w:p w14:paraId="394A5B72" w14:textId="77777777" w:rsidR="00A53B3D" w:rsidRDefault="00A53B3D" w:rsidP="00A53B3D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2: The s</w:t>
      </w:r>
      <w:r w:rsidRPr="00EE74CA">
        <w:rPr>
          <w:b/>
          <w:bCs/>
        </w:rPr>
        <w:t xml:space="preserve">ide conditions for </w:t>
      </w:r>
      <w:r>
        <w:rPr>
          <w:b/>
          <w:bCs/>
        </w:rPr>
        <w:t xml:space="preserve">fading channel for </w:t>
      </w:r>
      <w:r w:rsidRPr="00EE74CA">
        <w:rPr>
          <w:b/>
          <w:bCs/>
        </w:rPr>
        <w:t xml:space="preserve">1Rx </w:t>
      </w:r>
      <w:r>
        <w:rPr>
          <w:b/>
          <w:bCs/>
        </w:rPr>
        <w:t xml:space="preserve">RedCap UE </w:t>
      </w:r>
      <w:r w:rsidRPr="00EE74CA">
        <w:rPr>
          <w:b/>
          <w:bCs/>
        </w:rPr>
        <w:t>without FH</w:t>
      </w:r>
      <w:r>
        <w:rPr>
          <w:b/>
          <w:bCs/>
        </w:rPr>
        <w:t xml:space="preserve">: </w:t>
      </w:r>
      <w:r w:rsidRPr="00EE74CA">
        <w:rPr>
          <w:b/>
          <w:bCs/>
        </w:rPr>
        <w:t xml:space="preserve">relax </w:t>
      </w:r>
      <w:r>
        <w:rPr>
          <w:b/>
          <w:bCs/>
        </w:rPr>
        <w:t xml:space="preserve">Rel-17 </w:t>
      </w:r>
      <w:r w:rsidRPr="00EE74CA">
        <w:rPr>
          <w:b/>
          <w:bCs/>
        </w:rPr>
        <w:t>side condition</w:t>
      </w:r>
      <w:r>
        <w:rPr>
          <w:b/>
          <w:bCs/>
        </w:rPr>
        <w:t>s and the accuracy requirements.</w:t>
      </w:r>
    </w:p>
    <w:p w14:paraId="724A65D3" w14:textId="010EAFFD" w:rsidR="00D434BF" w:rsidRPr="00D434BF" w:rsidRDefault="00D434BF" w:rsidP="003C0851">
      <w:pPr>
        <w:jc w:val="both"/>
        <w:rPr>
          <w:b/>
          <w:bCs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B011CE0" w14:textId="001695B0" w:rsidR="007F0057" w:rsidRPr="00312BA1" w:rsidRDefault="009632A9" w:rsidP="009632A9">
      <w:pPr>
        <w:pStyle w:val="ListParagraph"/>
        <w:numPr>
          <w:ilvl w:val="0"/>
          <w:numId w:val="2"/>
        </w:numPr>
      </w:pPr>
      <w:bookmarkStart w:id="0" w:name="_Ref91246572"/>
      <w:bookmarkStart w:id="1" w:name="_Ref127556755"/>
      <w:bookmarkStart w:id="2" w:name="_Ref135050850"/>
      <w:r>
        <w:t>R4</w:t>
      </w:r>
      <w:r w:rsidRPr="003C0851">
        <w:noBreakHyphen/>
      </w:r>
      <w:r w:rsidR="00215F23" w:rsidRPr="00215F23">
        <w:t>2306349</w:t>
      </w:r>
      <w:r>
        <w:t xml:space="preserve">, </w:t>
      </w:r>
      <w:bookmarkEnd w:id="0"/>
      <w:r w:rsidR="00215F23" w:rsidRPr="00215F23">
        <w:t>WF on RRM requirements for RedCap positioning and PRS/SRS BW aggregation</w:t>
      </w:r>
      <w:r w:rsidR="00312BA1">
        <w:t xml:space="preserve">, </w:t>
      </w:r>
      <w:bookmarkEnd w:id="1"/>
      <w:r w:rsidR="0087355B" w:rsidRPr="0087355B">
        <w:t>Ericsson</w:t>
      </w:r>
      <w:r w:rsidR="0087355B">
        <w:t>.</w:t>
      </w:r>
      <w:bookmarkEnd w:id="2"/>
    </w:p>
    <w:p w14:paraId="48BD853C" w14:textId="77777777" w:rsidR="006A7A50" w:rsidRPr="001A5974" w:rsidRDefault="006A7A50" w:rsidP="006A7A50">
      <w:pPr>
        <w:overflowPunct w:val="0"/>
        <w:autoSpaceDE w:val="0"/>
        <w:autoSpaceDN w:val="0"/>
        <w:adjustRightInd w:val="0"/>
        <w:spacing w:after="180"/>
      </w:pPr>
    </w:p>
    <w:sectPr w:rsidR="006A7A50" w:rsidRPr="001A597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39B84" w14:textId="77777777" w:rsidR="002E1E8F" w:rsidRDefault="002E1E8F">
      <w:r>
        <w:separator/>
      </w:r>
    </w:p>
  </w:endnote>
  <w:endnote w:type="continuationSeparator" w:id="0">
    <w:p w14:paraId="60AE3898" w14:textId="77777777" w:rsidR="002E1E8F" w:rsidRDefault="002E1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E12E0" w14:textId="77777777" w:rsidR="002E1E8F" w:rsidRDefault="002E1E8F">
      <w:r>
        <w:separator/>
      </w:r>
    </w:p>
  </w:footnote>
  <w:footnote w:type="continuationSeparator" w:id="0">
    <w:p w14:paraId="45F7B976" w14:textId="77777777" w:rsidR="002E1E8F" w:rsidRDefault="002E1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1777D"/>
    <w:multiLevelType w:val="hybridMultilevel"/>
    <w:tmpl w:val="9DC4E3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" w15:restartNumberingAfterBreak="0">
    <w:nsid w:val="12C40C17"/>
    <w:multiLevelType w:val="hybridMultilevel"/>
    <w:tmpl w:val="1772CABE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6D77E9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24728A"/>
    <w:multiLevelType w:val="multilevel"/>
    <w:tmpl w:val="CBE48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4865802"/>
    <w:multiLevelType w:val="hybridMultilevel"/>
    <w:tmpl w:val="063472A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2" w15:restartNumberingAfterBreak="0">
    <w:nsid w:val="2A105F4B"/>
    <w:multiLevelType w:val="hybridMultilevel"/>
    <w:tmpl w:val="FFC23B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DFC4A8A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67068"/>
    <w:multiLevelType w:val="hybridMultilevel"/>
    <w:tmpl w:val="207A2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193DD7"/>
    <w:multiLevelType w:val="hybridMultilevel"/>
    <w:tmpl w:val="4CC69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A1557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73482"/>
    <w:multiLevelType w:val="hybridMultilevel"/>
    <w:tmpl w:val="306AAE4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A542C6"/>
    <w:multiLevelType w:val="multilevel"/>
    <w:tmpl w:val="E7AE8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F4E148F"/>
    <w:multiLevelType w:val="hybridMultilevel"/>
    <w:tmpl w:val="D8A6DD3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8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6"/>
  </w:num>
  <w:num w:numId="7">
    <w:abstractNumId w:val="21"/>
  </w:num>
  <w:num w:numId="8">
    <w:abstractNumId w:val="3"/>
  </w:num>
  <w:num w:numId="9">
    <w:abstractNumId w:val="21"/>
  </w:num>
  <w:num w:numId="10">
    <w:abstractNumId w:val="5"/>
  </w:num>
  <w:num w:numId="11">
    <w:abstractNumId w:val="21"/>
  </w:num>
  <w:num w:numId="12">
    <w:abstractNumId w:val="26"/>
  </w:num>
  <w:num w:numId="13">
    <w:abstractNumId w:val="7"/>
  </w:num>
  <w:num w:numId="14">
    <w:abstractNumId w:val="10"/>
  </w:num>
  <w:num w:numId="15">
    <w:abstractNumId w:val="25"/>
  </w:num>
  <w:num w:numId="16">
    <w:abstractNumId w:val="2"/>
  </w:num>
  <w:num w:numId="17">
    <w:abstractNumId w:val="17"/>
  </w:num>
  <w:num w:numId="18">
    <w:abstractNumId w:val="21"/>
  </w:num>
  <w:num w:numId="19">
    <w:abstractNumId w:val="13"/>
  </w:num>
  <w:num w:numId="20">
    <w:abstractNumId w:val="22"/>
  </w:num>
  <w:num w:numId="21">
    <w:abstractNumId w:val="29"/>
  </w:num>
  <w:num w:numId="22">
    <w:abstractNumId w:val="11"/>
  </w:num>
  <w:num w:numId="23">
    <w:abstractNumId w:val="4"/>
  </w:num>
  <w:num w:numId="24">
    <w:abstractNumId w:val="21"/>
  </w:num>
  <w:num w:numId="25">
    <w:abstractNumId w:val="21"/>
  </w:num>
  <w:num w:numId="26">
    <w:abstractNumId w:val="16"/>
  </w:num>
  <w:num w:numId="27">
    <w:abstractNumId w:val="3"/>
  </w:num>
  <w:num w:numId="28">
    <w:abstractNumId w:val="21"/>
  </w:num>
  <w:num w:numId="29">
    <w:abstractNumId w:val="21"/>
  </w:num>
  <w:num w:numId="30">
    <w:abstractNumId w:val="1"/>
  </w:num>
  <w:num w:numId="31">
    <w:abstractNumId w:val="18"/>
  </w:num>
  <w:num w:numId="32">
    <w:abstractNumId w:val="9"/>
  </w:num>
  <w:num w:numId="33">
    <w:abstractNumId w:val="24"/>
  </w:num>
  <w:num w:numId="34">
    <w:abstractNumId w:val="19"/>
  </w:num>
  <w:num w:numId="35">
    <w:abstractNumId w:val="8"/>
  </w:num>
  <w:num w:numId="36">
    <w:abstractNumId w:val="14"/>
  </w:num>
  <w:num w:numId="37">
    <w:abstractNumId w:val="20"/>
  </w:num>
  <w:num w:numId="38">
    <w:abstractNumId w:val="12"/>
  </w:num>
  <w:num w:numId="39">
    <w:abstractNumId w:val="21"/>
  </w:num>
  <w:num w:numId="40">
    <w:abstractNumId w:val="21"/>
  </w:num>
  <w:num w:numId="41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2B4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96F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0ACA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302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635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2F0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66C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2479"/>
    <w:rsid w:val="00143060"/>
    <w:rsid w:val="001437DC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A7E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476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52B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8BA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0FC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EE5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3D4A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53C"/>
    <w:rsid w:val="00204F98"/>
    <w:rsid w:val="00205584"/>
    <w:rsid w:val="0020630D"/>
    <w:rsid w:val="00206528"/>
    <w:rsid w:val="002068CF"/>
    <w:rsid w:val="00206DE1"/>
    <w:rsid w:val="00207282"/>
    <w:rsid w:val="00207287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221"/>
    <w:rsid w:val="00215968"/>
    <w:rsid w:val="00215F23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7DA"/>
    <w:rsid w:val="002409EC"/>
    <w:rsid w:val="0024135F"/>
    <w:rsid w:val="0024189E"/>
    <w:rsid w:val="00241982"/>
    <w:rsid w:val="0024209F"/>
    <w:rsid w:val="00242186"/>
    <w:rsid w:val="00242E94"/>
    <w:rsid w:val="00243258"/>
    <w:rsid w:val="002434F0"/>
    <w:rsid w:val="00243B7A"/>
    <w:rsid w:val="00243F00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469B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27D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B93"/>
    <w:rsid w:val="002A3CBF"/>
    <w:rsid w:val="002A403F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68DE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1E8F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97B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BA1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6C33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87575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922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AF2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88C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749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B2A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06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7E7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B1D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670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107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7DC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3F9B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E5C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4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77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BC6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510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382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47CBA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3B2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53"/>
    <w:rsid w:val="00662FA1"/>
    <w:rsid w:val="006630F7"/>
    <w:rsid w:val="006633B6"/>
    <w:rsid w:val="006635E1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631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2DC6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854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22C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5D1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D27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37B1"/>
    <w:rsid w:val="00793C71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AE1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859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3F5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7A3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34F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355B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2939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D90"/>
    <w:rsid w:val="008A6F0E"/>
    <w:rsid w:val="008A7398"/>
    <w:rsid w:val="008A74F3"/>
    <w:rsid w:val="008A787F"/>
    <w:rsid w:val="008A7BB6"/>
    <w:rsid w:val="008B0103"/>
    <w:rsid w:val="008B0549"/>
    <w:rsid w:val="008B0E36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048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8E1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BFA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20A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245"/>
    <w:rsid w:val="00915464"/>
    <w:rsid w:val="009158A8"/>
    <w:rsid w:val="009159E9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1ED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3CA9"/>
    <w:rsid w:val="0097443A"/>
    <w:rsid w:val="009744E3"/>
    <w:rsid w:val="0097459B"/>
    <w:rsid w:val="00974EDC"/>
    <w:rsid w:val="009751F6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16C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10A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2CA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0FD8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D1C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209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25E"/>
    <w:rsid w:val="00A2185F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5CC0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3B3D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465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6C1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C15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37BB2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A49"/>
    <w:rsid w:val="00B6324B"/>
    <w:rsid w:val="00B636AE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6DA3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02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0ADF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28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297"/>
    <w:rsid w:val="00C303A3"/>
    <w:rsid w:val="00C3059C"/>
    <w:rsid w:val="00C30B84"/>
    <w:rsid w:val="00C3105D"/>
    <w:rsid w:val="00C3107E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6E31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6A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5A0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2E6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282"/>
    <w:rsid w:val="00CB3492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354A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58C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4BF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56A"/>
    <w:rsid w:val="00D51626"/>
    <w:rsid w:val="00D516EA"/>
    <w:rsid w:val="00D517B9"/>
    <w:rsid w:val="00D521A0"/>
    <w:rsid w:val="00D521FC"/>
    <w:rsid w:val="00D52227"/>
    <w:rsid w:val="00D52332"/>
    <w:rsid w:val="00D52955"/>
    <w:rsid w:val="00D52C3A"/>
    <w:rsid w:val="00D535EA"/>
    <w:rsid w:val="00D5393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6B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6D07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2789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1BF"/>
    <w:rsid w:val="00DF64F5"/>
    <w:rsid w:val="00DF667F"/>
    <w:rsid w:val="00DF6D25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3B0"/>
    <w:rsid w:val="00E015C9"/>
    <w:rsid w:val="00E017A4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6BF2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3DD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32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16DE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12F"/>
    <w:rsid w:val="00E9484E"/>
    <w:rsid w:val="00E94C71"/>
    <w:rsid w:val="00E94CA0"/>
    <w:rsid w:val="00E94E59"/>
    <w:rsid w:val="00E94EE5"/>
    <w:rsid w:val="00E95C94"/>
    <w:rsid w:val="00E968EA"/>
    <w:rsid w:val="00E9692F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7F8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8A8"/>
    <w:rsid w:val="00EC494A"/>
    <w:rsid w:val="00EC4C2F"/>
    <w:rsid w:val="00EC4C85"/>
    <w:rsid w:val="00EC4E17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E74CA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419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13B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A2D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850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BC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E5B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5BC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2023-05-15T18:42:00Z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